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rPr>
          <w:rFonts w:ascii="Times New Roman" w:hAnsi="Times New Roman"/>
          <w:color w:val="auto"/>
          <w:sz w:val="36"/>
          <w:lang w:val="en-GB"/>
        </w:rPr>
      </w:pPr>
      <w:bookmarkStart w:id="0" w:name="_Toc41877063"/>
      <w:bookmarkStart w:id="1" w:name="_Toc41823882"/>
      <w:r>
        <w:rPr>
          <w:rFonts w:ascii="Times New Roman" w:hAnsi="Times New Roman"/>
          <w:color w:val="auto"/>
          <w:sz w:val="36"/>
          <w:lang w:val="en-GB"/>
        </w:rPr>
        <w:t>VOLUME 3</w:t>
      </w:r>
      <w:bookmarkEnd w:id="0"/>
      <w:bookmarkEnd w:id="1"/>
    </w:p>
    <w:p>
      <w:pPr>
        <w:pStyle w:val="Heading1"/>
        <w:rPr>
          <w:rFonts w:ascii="Times New Roman" w:hAnsi="Times New Roman"/>
          <w:color w:val="auto"/>
          <w:sz w:val="36"/>
          <w:lang w:val="en-GB"/>
        </w:rPr>
      </w:pPr>
      <w:r>
        <w:rPr>
          <w:rFonts w:ascii="Times New Roman" w:hAnsi="Times New Roman"/>
          <w:color w:val="auto"/>
          <w:sz w:val="36"/>
          <w:lang w:val="en-GB"/>
        </w:rPr>
      </w:r>
    </w:p>
    <w:p>
      <w:pPr>
        <w:pStyle w:val="Heading1"/>
        <w:rPr>
          <w:rFonts w:ascii="Times New Roman" w:hAnsi="Times New Roman"/>
        </w:rPr>
      </w:pPr>
      <w:bookmarkStart w:id="2" w:name="_Toc41877064"/>
      <w:bookmarkStart w:id="3" w:name="_Toc41823883"/>
      <w:r>
        <w:rPr>
          <w:rFonts w:ascii="Times New Roman" w:hAnsi="Times New Roman"/>
          <w:color w:val="auto"/>
          <w:sz w:val="36"/>
          <w:lang w:val="en-GB"/>
        </w:rPr>
        <w:t>TECHNICAL SPECIFICA</w:t>
      </w:r>
      <w:bookmarkStart w:id="4" w:name="_GoBack"/>
      <w:bookmarkEnd w:id="4"/>
      <w:r>
        <w:rPr>
          <w:rFonts w:ascii="Times New Roman" w:hAnsi="Times New Roman"/>
          <w:color w:val="auto"/>
          <w:sz w:val="36"/>
          <w:lang w:val="en-GB"/>
        </w:rPr>
        <w:t>TIONS</w:t>
      </w:r>
      <w:bookmarkEnd w:id="2"/>
      <w:bookmarkEnd w:id="3"/>
    </w:p>
    <w:p>
      <w:pPr>
        <w:pStyle w:val="Normal"/>
        <w:rPr>
          <w:color w:val="auto"/>
          <w:sz w:val="36"/>
          <w:lang w:val="en-GB"/>
        </w:rPr>
      </w:pPr>
      <w:r>
        <w:rPr>
          <w:rFonts w:ascii="Times New Roman" w:hAnsi="Times New Roman"/>
        </w:rPr>
      </w:r>
    </w:p>
    <w:p>
      <w:pPr>
        <w:pStyle w:val="Normal"/>
        <w:rPr>
          <w:color w:val="auto"/>
          <w:sz w:val="36"/>
          <w:lang w:val="en-GB"/>
        </w:rPr>
      </w:pPr>
      <w:r>
        <w:rPr>
          <w:rFonts w:ascii="Times New Roman" w:hAnsi="Times New Roman"/>
        </w:rPr>
      </w:r>
    </w:p>
    <w:p>
      <w:pPr>
        <w:pStyle w:val="Normal"/>
        <w:jc w:val="both"/>
        <w:rPr>
          <w:rFonts w:ascii="Times New Roman" w:hAnsi="Times New Roman"/>
          <w:sz w:val="24"/>
          <w:szCs w:val="24"/>
          <w:lang w:val="en-US"/>
        </w:rPr>
      </w:pPr>
      <w:r>
        <w:rPr>
          <w:rFonts w:ascii="Times New Roman" w:hAnsi="Times New Roman"/>
          <w:color w:val="auto"/>
          <w:sz w:val="24"/>
          <w:szCs w:val="24"/>
          <w:lang w:val="en-US"/>
        </w:rPr>
        <w:tab/>
        <w:t xml:space="preserve">Considering the prepared project documentation and intention to support the greening of the public surfaces, and all the activities in the past period for contribution in process of global combat against climate changes, Municipality of Kriva Palanka has reinforcing its actions in that direction. Greening of the public urban sites is rapidly increased with concrete and direct actions in the urban parts. One of such action is the current project PARKS that aims to provide another new green urban park for the local community. </w:t>
      </w:r>
    </w:p>
    <w:p>
      <w:pPr>
        <w:pStyle w:val="Normal"/>
        <w:jc w:val="both"/>
        <w:rPr>
          <w:rFonts w:ascii="Times New Roman" w:hAnsi="Times New Roman"/>
        </w:rPr>
      </w:pPr>
      <w:r>
        <w:rPr>
          <w:rFonts w:ascii="Times New Roman" w:hAnsi="Times New Roman"/>
          <w:color w:val="auto"/>
          <w:sz w:val="24"/>
          <w:szCs w:val="24"/>
          <w:lang w:val="en-US"/>
        </w:rPr>
        <w:tab/>
        <w:t>Following the technical description of the propose task to prepare the required documents and technical solution of for the project, the designer prepared the technical specification for the works for all phases of the basic project</w:t>
      </w:r>
    </w:p>
    <w:p>
      <w:pPr>
        <w:pStyle w:val="Normal"/>
        <w:jc w:val="both"/>
        <w:rPr>
          <w:color w:val="auto"/>
          <w:sz w:val="24"/>
          <w:szCs w:val="24"/>
          <w:lang w:val="en-US"/>
        </w:rPr>
      </w:pPr>
      <w:r>
        <w:rPr>
          <w:rFonts w:ascii="Times New Roman" w:hAnsi="Times New Roman"/>
        </w:rPr>
      </w:r>
    </w:p>
    <w:p>
      <w:pPr>
        <w:pStyle w:val="Normal"/>
        <w:jc w:val="both"/>
        <w:rPr>
          <w:rFonts w:ascii="Times New Roman" w:hAnsi="Times New Roman"/>
        </w:rPr>
      </w:pPr>
      <w:r>
        <w:rPr>
          <w:rFonts w:ascii="Times New Roman" w:hAnsi="Times New Roman"/>
          <w:b/>
          <w:color w:val="auto"/>
          <w:sz w:val="24"/>
          <w:szCs w:val="24"/>
          <w:lang w:val="en-US"/>
        </w:rPr>
        <w:t>- Phase architecture – Concept and function</w:t>
      </w:r>
    </w:p>
    <w:p>
      <w:pPr>
        <w:pStyle w:val="Normal"/>
        <w:jc w:val="left"/>
        <w:rPr>
          <w:b/>
          <w:b/>
          <w:color w:val="auto"/>
          <w:sz w:val="24"/>
          <w:lang w:val="en-GB"/>
        </w:rPr>
      </w:pPr>
      <w:r>
        <w:rPr>
          <w:rFonts w:ascii="Times New Roman" w:hAnsi="Times New Roman"/>
        </w:rPr>
      </w:r>
    </w:p>
    <w:p>
      <w:pPr>
        <w:pStyle w:val="Normal"/>
        <w:jc w:val="both"/>
        <w:rPr>
          <w:rFonts w:ascii="Times New Roman" w:hAnsi="Times New Roman"/>
        </w:rPr>
      </w:pPr>
      <w:r>
        <w:rPr>
          <w:rFonts w:ascii="Times New Roman" w:hAnsi="Times New Roman"/>
          <w:sz w:val="24"/>
        </w:rPr>
        <w:t xml:space="preserve">For the needs of the Municipality of Kriva Palanka, it is envisaged to carry out ground arrangement, installation of urban equipment, construction of children's playgrounds, and a basketball court in the second phase. </w:t>
      </w:r>
      <w:r>
        <w:rPr>
          <w:rFonts w:ascii="Times New Roman" w:hAnsi="Times New Roman"/>
          <w:sz w:val="24"/>
          <w:lang w:val="en-US"/>
        </w:rPr>
        <w:t xml:space="preserve">The project action is divided in two phases, from which, the basic or the first phase is targeted issue of the supported project PARKS, for which the procurement is aimed. </w:t>
      </w:r>
      <w:r>
        <w:rPr>
          <w:rFonts w:ascii="Times New Roman" w:hAnsi="Times New Roman"/>
          <w:sz w:val="24"/>
        </w:rPr>
        <w:t xml:space="preserve">Green islands with horticultural solutions will also be formed. The construction scope is approximately 1747 m2 for Phase 1, 356 m2 for Phase 2, totaling 2103 m2. Six green islands are planned to be formed and adorned with various plants and some parts will be embellished with flower beds. </w:t>
      </w:r>
    </w:p>
    <w:p>
      <w:pPr>
        <w:pStyle w:val="Normal"/>
        <w:jc w:val="both"/>
        <w:rPr>
          <w:rFonts w:ascii="Times New Roman" w:hAnsi="Times New Roman"/>
        </w:rPr>
      </w:pPr>
      <w:r>
        <w:rPr>
          <w:rFonts w:ascii="Times New Roman" w:hAnsi="Times New Roman"/>
          <w:sz w:val="24"/>
          <w:lang w:val="en-US"/>
        </w:rPr>
        <w:t xml:space="preserve">The ambiental plants will be determined with the carefully executed pedological analyze at the beginning as preraration activity.  </w:t>
      </w:r>
      <w:r>
        <w:rPr>
          <w:rFonts w:ascii="Times New Roman" w:hAnsi="Times New Roman"/>
          <w:sz w:val="24"/>
        </w:rPr>
        <w:t>The space between the green islands will have pedestrian paths made of decorative colored stone, which are detailed in the project.</w:t>
      </w:r>
    </w:p>
    <w:p>
      <w:pPr>
        <w:pStyle w:val="Normal"/>
        <w:jc w:val="both"/>
        <w:rPr>
          <w:rFonts w:ascii="Times New Roman" w:hAnsi="Times New Roman"/>
        </w:rPr>
      </w:pPr>
      <w:r>
        <w:rPr>
          <w:rFonts w:ascii="Times New Roman" w:hAnsi="Times New Roman"/>
          <w:sz w:val="24"/>
        </w:rPr>
        <w:t xml:space="preserve">A small basketball court is also planned for the second phase. A backboard with a hoop and stone benches will be installed as part of the green islands next to the basketball court. The benches will be made of stone slabs. The surface under the basketball court is designed with tartan placed on a concrete slab AB in the second phase. </w:t>
      </w:r>
    </w:p>
    <w:p>
      <w:pPr>
        <w:pStyle w:val="Normal"/>
        <w:jc w:val="left"/>
        <w:rPr>
          <w:rFonts w:ascii="Times New Roman" w:hAnsi="Times New Roman"/>
        </w:rPr>
      </w:pPr>
      <w:r>
        <w:rPr>
          <w:rFonts w:ascii="Times New Roman" w:hAnsi="Times New Roman"/>
          <w:sz w:val="24"/>
        </w:rPr>
        <w:t>Two small children's playgrounds paved with rubber protective tiles measuring 50x50x2.5 cm are planned for the second phase. These will serve the residents of the neighboring urban blocks. Children's equipment is included (children's swings, small seesaws, a platform with a slide, a spiral slide). Additionally, benches for seating, waste bins, drinking fountains, and so on will be</w:t>
      </w:r>
    </w:p>
    <w:p>
      <w:pPr>
        <w:pStyle w:val="Normal"/>
        <w:jc w:val="left"/>
        <w:rPr>
          <w:rFonts w:ascii="Times New Roman" w:hAnsi="Times New Roman"/>
        </w:rPr>
      </w:pPr>
      <w:r>
        <w:rPr>
          <w:rFonts w:ascii="Times New Roman" w:hAnsi="Times New Roman"/>
          <w:sz w:val="24"/>
        </w:rPr>
        <w:t>installed. The project execution will comply with the legal regulations prescribed for such</w:t>
      </w:r>
    </w:p>
    <w:p>
      <w:pPr>
        <w:pStyle w:val="Normal"/>
        <w:jc w:val="left"/>
        <w:rPr>
          <w:rFonts w:ascii="Times New Roman" w:hAnsi="Times New Roman"/>
        </w:rPr>
      </w:pPr>
      <w:r>
        <w:rPr>
          <w:rFonts w:ascii="Times New Roman" w:hAnsi="Times New Roman"/>
          <w:sz w:val="24"/>
        </w:rPr>
        <w:t>types of projects. Four shelters with panels are planned for the second phase.</w:t>
      </w:r>
    </w:p>
    <w:p>
      <w:pPr>
        <w:pStyle w:val="Normal"/>
        <w:jc w:val="both"/>
        <w:rPr>
          <w:rFonts w:ascii="Times New Roman" w:hAnsi="Times New Roman"/>
        </w:rPr>
      </w:pPr>
      <w:r>
        <w:rPr>
          <w:rFonts w:ascii="Times New Roman" w:hAnsi="Times New Roman"/>
          <w:sz w:val="24"/>
        </w:rPr>
        <w:t>The entire location has been leveling resolved by creating slopes and drains for the drainage of ground surfaces. The horizontal solution is based on the recorded cadastral situation – an updated background of the existing terrain.</w:t>
      </w:r>
    </w:p>
    <w:p>
      <w:pPr>
        <w:pStyle w:val="Normal"/>
        <w:jc w:val="both"/>
        <w:rPr>
          <w:sz w:val="24"/>
        </w:rPr>
      </w:pPr>
      <w:r>
        <w:rPr>
          <w:rFonts w:ascii="Times New Roman" w:hAnsi="Times New Roman"/>
        </w:rPr>
      </w:r>
    </w:p>
    <w:p>
      <w:pPr>
        <w:pStyle w:val="Normal"/>
        <w:jc w:val="both"/>
        <w:rPr>
          <w:rFonts w:ascii="Times New Roman" w:hAnsi="Times New Roman"/>
        </w:rPr>
      </w:pPr>
      <w:r>
        <w:rPr>
          <w:rFonts w:ascii="Times New Roman" w:hAnsi="Times New Roman"/>
          <w:sz w:val="24"/>
          <w:lang w:val="en-US"/>
        </w:rPr>
        <w:t xml:space="preserve">Furthermore, the technical description for water supply and sanitary sewer for construction </w:t>
      </w:r>
      <w:bookmarkStart w:id="5" w:name="__DdeLink__39220_633452873"/>
      <w:r>
        <w:rPr>
          <w:rFonts w:ascii="Times New Roman" w:hAnsi="Times New Roman"/>
          <w:sz w:val="24"/>
          <w:lang w:val="en-US"/>
        </w:rPr>
        <w:t xml:space="preserve">given in the Basic project for ground floor arrangement of part of parcels </w:t>
      </w:r>
      <w:r>
        <w:rPr>
          <w:rFonts w:ascii="Times New Roman" w:hAnsi="Times New Roman"/>
          <w:color w:val="0D0D0D"/>
          <w:sz w:val="21"/>
        </w:rPr>
        <w:t>3151/1; KP 3150; KP 3149; KP 3130/2; KP3131/2; KP 3132/1; KP 3133/1; KP 3135/1 KO KRIVA PALANKA – Kriiva Palanka</w:t>
      </w:r>
      <w:bookmarkEnd w:id="5"/>
    </w:p>
    <w:p>
      <w:pPr>
        <w:pStyle w:val="Normal"/>
        <w:jc w:val="both"/>
        <w:rPr>
          <w:color w:val="0D0D0D"/>
          <w:sz w:val="21"/>
        </w:rPr>
      </w:pPr>
      <w:r>
        <w:rPr>
          <w:rFonts w:ascii="Times New Roman" w:hAnsi="Times New Roman"/>
        </w:rPr>
      </w:r>
    </w:p>
    <w:p>
      <w:pPr>
        <w:pStyle w:val="Normal"/>
        <w:jc w:val="both"/>
        <w:rPr>
          <w:rFonts w:ascii="Times New Roman" w:hAnsi="Times New Roman"/>
        </w:rPr>
      </w:pPr>
      <w:r>
        <w:rPr>
          <w:rFonts w:ascii="Times New Roman" w:hAnsi="Times New Roman"/>
          <w:color w:val="000000"/>
          <w:sz w:val="24"/>
        </w:rPr>
        <w:t>According to the architectural plans, irrigation of the green areas of the aforementioned parcels is envisaged, as well as drainage of the same from atmospheric waters.</w:t>
      </w:r>
    </w:p>
    <w:p>
      <w:pPr>
        <w:pStyle w:val="Normal"/>
        <w:jc w:val="both"/>
        <w:rPr>
          <w:rFonts w:ascii="Times New Roman" w:hAnsi="Times New Roman"/>
        </w:rPr>
      </w:pPr>
      <w:r>
        <w:rPr>
          <w:rFonts w:ascii="Times New Roman" w:hAnsi="Times New Roman"/>
          <w:color w:val="000000"/>
          <w:sz w:val="24"/>
        </w:rPr>
        <w:t>A technical solution has been developed for potable water supply, irrigation water supply, and external atmospheric sewage. The technical documentation is prepared based on the received data and information, including: project program obtained from the Investor, architectural and road plans, and technical norms and regulations for such type of facilities.</w:t>
      </w:r>
    </w:p>
    <w:p>
      <w:pPr>
        <w:pStyle w:val="Normal"/>
        <w:jc w:val="both"/>
        <w:rPr>
          <w:rFonts w:ascii="Times New Roman" w:hAnsi="Times New Roman"/>
        </w:rPr>
      </w:pPr>
      <w:r>
        <w:rPr>
          <w:rFonts w:ascii="Times New Roman" w:hAnsi="Times New Roman"/>
          <w:color w:val="000000"/>
          <w:sz w:val="24"/>
        </w:rPr>
        <w:t xml:space="preserve">Near the facility, there is an existing urban water supply line to which the potable water supply pipeline will be connected. Additionally, there is a river nearby from which water will be pumped for irrigation of the green areas and drainage of the newly designed atmospheric sewage system, as shown in the graphic attachment situation 1:250. </w:t>
      </w:r>
    </w:p>
    <w:p>
      <w:pPr>
        <w:pStyle w:val="Normal"/>
        <w:jc w:val="both"/>
        <w:rPr>
          <w:color w:val="000000"/>
          <w:sz w:val="24"/>
        </w:rPr>
      </w:pPr>
      <w:r>
        <w:rPr>
          <w:rFonts w:ascii="Times New Roman" w:hAnsi="Times New Roman"/>
        </w:rPr>
      </w:r>
    </w:p>
    <w:p>
      <w:pPr>
        <w:pStyle w:val="Normal"/>
        <w:jc w:val="both"/>
        <w:rPr>
          <w:rFonts w:ascii="Times New Roman" w:hAnsi="Times New Roman"/>
        </w:rPr>
      </w:pPr>
      <w:r>
        <w:rPr>
          <w:rFonts w:ascii="Times New Roman" w:hAnsi="Times New Roman"/>
          <w:b/>
          <w:color w:val="000000"/>
          <w:sz w:val="24"/>
        </w:rPr>
        <w:t>Sanitary water supply</w:t>
      </w:r>
    </w:p>
    <w:p>
      <w:pPr>
        <w:pStyle w:val="Normal"/>
        <w:jc w:val="both"/>
        <w:rPr>
          <w:rFonts w:ascii="Times New Roman" w:hAnsi="Times New Roman"/>
        </w:rPr>
      </w:pPr>
      <w:r>
        <w:rPr>
          <w:rFonts w:ascii="Times New Roman" w:hAnsi="Times New Roman"/>
          <w:color w:val="000000"/>
          <w:sz w:val="24"/>
        </w:rPr>
        <w:t>The ground floor of these cadastral parcels will be supplied with water from the existing urban water supply line passing in close proximity. At the beginning, a water meter shaft is planned at the location, in which a 3/4" water meter will be installed to measure the consumed water. Three drinking water fountains are designed for the entire ground floor. A DN 25 supply line is connected to each of them. The entire water supply network for the ground floor is designed to be made of polypropylene pipes complete with fittings.</w:t>
      </w:r>
    </w:p>
    <w:p>
      <w:pPr>
        <w:pStyle w:val="Normal"/>
        <w:jc w:val="both"/>
        <w:rPr>
          <w:color w:val="000000"/>
          <w:sz w:val="24"/>
        </w:rPr>
      </w:pPr>
      <w:r>
        <w:rPr>
          <w:rFonts w:ascii="Times New Roman" w:hAnsi="Times New Roman"/>
        </w:rPr>
      </w:r>
    </w:p>
    <w:p>
      <w:pPr>
        <w:pStyle w:val="Normal"/>
        <w:jc w:val="both"/>
        <w:rPr>
          <w:rFonts w:ascii="Times New Roman" w:hAnsi="Times New Roman"/>
        </w:rPr>
      </w:pPr>
      <w:r>
        <w:rPr>
          <w:rFonts w:ascii="Times New Roman" w:hAnsi="Times New Roman"/>
          <w:b/>
          <w:color w:val="000000"/>
          <w:sz w:val="24"/>
        </w:rPr>
        <w:t>Irrigation water supply</w:t>
      </w:r>
    </w:p>
    <w:p>
      <w:pPr>
        <w:pStyle w:val="Normal"/>
        <w:jc w:val="both"/>
        <w:rPr>
          <w:rFonts w:ascii="Times New Roman" w:hAnsi="Times New Roman"/>
        </w:rPr>
      </w:pPr>
      <w:r>
        <w:rPr>
          <w:rFonts w:ascii="Times New Roman" w:hAnsi="Times New Roman"/>
          <w:color w:val="000000"/>
          <w:sz w:val="24"/>
        </w:rPr>
        <w:t>It is envisaged that the green areas of the ground floor of the aforementioned parcels will be irrigated with water from the river. A suction basket will be installed in the river to bring water to the pumping station on the ground floor through a pipeline. A network is designed with garden hydrants F1 installed in shafts. It will be made of polypropylene pipes for water supply, complete with fittings.</w:t>
      </w:r>
    </w:p>
    <w:p>
      <w:pPr>
        <w:pStyle w:val="Normal"/>
        <w:jc w:val="both"/>
        <w:rPr>
          <w:color w:val="000000"/>
          <w:sz w:val="24"/>
        </w:rPr>
      </w:pPr>
      <w:r>
        <w:rPr>
          <w:rFonts w:ascii="Times New Roman" w:hAnsi="Times New Roman"/>
        </w:rPr>
      </w:r>
    </w:p>
    <w:p>
      <w:pPr>
        <w:pStyle w:val="Normal"/>
        <w:jc w:val="both"/>
        <w:rPr>
          <w:rFonts w:ascii="Times New Roman" w:hAnsi="Times New Roman"/>
          <w:lang w:val="en-US"/>
        </w:rPr>
      </w:pPr>
      <w:r>
        <w:rPr>
          <w:rFonts w:ascii="Times New Roman" w:hAnsi="Times New Roman"/>
          <w:color w:val="000000"/>
          <w:sz w:val="24"/>
          <w:lang w:val="en-US"/>
        </w:rPr>
        <w:t xml:space="preserve">Additionally, for the electric works, schemes, specifications and bill of quantities are </w:t>
      </w:r>
      <w:r>
        <w:rPr>
          <w:rFonts w:ascii="Times New Roman" w:hAnsi="Times New Roman"/>
          <w:b w:val="false"/>
          <w:bCs w:val="false"/>
          <w:color w:val="000000"/>
          <w:sz w:val="24"/>
          <w:lang w:val="en-US"/>
        </w:rPr>
        <w:t xml:space="preserve">given in the Basic project for ground floor arrangement of part of parcels </w:t>
      </w:r>
      <w:r>
        <w:rPr>
          <w:rFonts w:ascii="Times New Roman" w:hAnsi="Times New Roman"/>
          <w:b w:val="false"/>
          <w:bCs w:val="false"/>
          <w:color w:val="0D0D0D"/>
          <w:sz w:val="21"/>
          <w:lang w:val="en-US"/>
        </w:rPr>
        <w:t>3151/1; KP 3150; KP 3149; KP 3130/2; KP3131/2; KP 3132/1; KP 3133/1; KP 3135/1 KO KRIVA PALANKA – Kriiva Palanka</w:t>
      </w:r>
    </w:p>
    <w:p>
      <w:pPr>
        <w:pStyle w:val="Normal"/>
        <w:jc w:val="both"/>
        <w:rPr>
          <w:color w:val="auto"/>
          <w:sz w:val="36"/>
          <w:lang w:val="en-GB"/>
        </w:rPr>
      </w:pPr>
      <w:r>
        <w:rPr>
          <w:rFonts w:ascii="Times New Roman" w:hAnsi="Times New Roman"/>
        </w:rPr>
      </w:r>
    </w:p>
    <w:p>
      <w:pPr>
        <w:pStyle w:val="Normal"/>
        <w:jc w:val="both"/>
        <w:rPr>
          <w:rFonts w:ascii="Times New Roman" w:hAnsi="Times New Roman"/>
        </w:rPr>
      </w:pPr>
      <w:r>
        <w:rPr>
          <w:rFonts w:ascii="Times New Roman" w:hAnsi="Times New Roman"/>
          <w:sz w:val="24"/>
        </w:rPr>
        <w:t xml:space="preserve">The technical solution for proposed park lighting is being developed as a part of the basic project and technical documentation with objective to lightning the contents of the park. The proposed street is not predicted and will be construct in the second phase. </w:t>
      </w:r>
    </w:p>
    <w:p>
      <w:pPr>
        <w:pStyle w:val="Normal"/>
        <w:jc w:val="both"/>
        <w:rPr>
          <w:rFonts w:ascii="Times New Roman" w:hAnsi="Times New Roman"/>
        </w:rPr>
      </w:pPr>
      <w:r>
        <w:rPr>
          <w:rFonts w:ascii="Times New Roman" w:hAnsi="Times New Roman"/>
          <w:sz w:val="24"/>
        </w:rPr>
        <w:t>Light fittings should be placed on a mounting bracket 1.0m at galvanized steel</w:t>
      </w:r>
    </w:p>
    <w:p>
      <w:pPr>
        <w:pStyle w:val="Normal"/>
        <w:jc w:val="both"/>
        <w:rPr>
          <w:rFonts w:ascii="Times New Roman" w:hAnsi="Times New Roman"/>
        </w:rPr>
      </w:pPr>
      <w:r>
        <w:rPr>
          <w:rFonts w:ascii="Times New Roman" w:hAnsi="Times New Roman"/>
          <w:sz w:val="24"/>
        </w:rPr>
        <w:t>lighting poles with height of 8.0m.</w:t>
      </w:r>
    </w:p>
    <w:p>
      <w:pPr>
        <w:pStyle w:val="Normal"/>
        <w:jc w:val="both"/>
        <w:rPr>
          <w:rFonts w:ascii="Times New Roman" w:hAnsi="Times New Roman"/>
        </w:rPr>
      </w:pPr>
      <w:r>
        <w:rPr>
          <w:rFonts w:ascii="Times New Roman" w:hAnsi="Times New Roman"/>
          <w:sz w:val="24"/>
        </w:rPr>
        <w:t>At a height of 5.0m from the others on the side of the T profiles, two reflectors are of 10W will be mounted for lighting of the wood in the park. The installation schedule layout of the poles/bulbs is made on the base of the photometric calculation. For that objective there are proposed bulbs with following specifications:</w:t>
      </w:r>
    </w:p>
    <w:p>
      <w:pPr>
        <w:pStyle w:val="Normal"/>
        <w:jc w:val="both"/>
        <w:rPr>
          <w:sz w:val="24"/>
        </w:rPr>
      </w:pPr>
      <w:r>
        <w:rPr>
          <w:rFonts w:ascii="Times New Roman" w:hAnsi="Times New Roman"/>
        </w:rPr>
      </w:r>
    </w:p>
    <w:p>
      <w:pPr>
        <w:pStyle w:val="Normal"/>
        <w:jc w:val="both"/>
        <w:rPr>
          <w:rFonts w:ascii="Times New Roman" w:hAnsi="Times New Roman"/>
        </w:rPr>
      </w:pPr>
      <w:r>
        <w:rPr>
          <w:rFonts w:ascii="Times New Roman" w:hAnsi="Times New Roman"/>
          <w:sz w:val="22"/>
        </w:rPr>
        <w:t>- aluminum body of bulb, suitable for mounting on the posts or consoles with diameter of 42-60mm</w:t>
      </w:r>
    </w:p>
    <w:p>
      <w:pPr>
        <w:pStyle w:val="Normal"/>
        <w:jc w:val="both"/>
        <w:rPr>
          <w:rFonts w:ascii="Times New Roman" w:hAnsi="Times New Roman"/>
        </w:rPr>
      </w:pPr>
      <w:r>
        <w:rPr>
          <w:rFonts w:ascii="Times New Roman" w:hAnsi="Times New Roman"/>
          <w:sz w:val="22"/>
        </w:rPr>
        <w:t>- protection level IP66</w:t>
      </w:r>
    </w:p>
    <w:p>
      <w:pPr>
        <w:pStyle w:val="Normal"/>
        <w:jc w:val="both"/>
        <w:rPr>
          <w:rFonts w:ascii="Times New Roman" w:hAnsi="Times New Roman"/>
        </w:rPr>
      </w:pPr>
      <w:r>
        <w:rPr>
          <w:rFonts w:ascii="Times New Roman" w:hAnsi="Times New Roman"/>
          <w:sz w:val="22"/>
        </w:rPr>
        <w:t>- temperature of color 4000K</w:t>
      </w:r>
    </w:p>
    <w:p>
      <w:pPr>
        <w:pStyle w:val="Normal"/>
        <w:jc w:val="both"/>
        <w:rPr>
          <w:rFonts w:ascii="Times New Roman" w:hAnsi="Times New Roman"/>
        </w:rPr>
      </w:pPr>
      <w:r>
        <w:rPr>
          <w:rFonts w:ascii="Times New Roman" w:hAnsi="Times New Roman"/>
          <w:sz w:val="22"/>
        </w:rPr>
        <w:t>- lifetime to 100.000 h</w:t>
      </w:r>
    </w:p>
    <w:p>
      <w:pPr>
        <w:pStyle w:val="Normal"/>
        <w:jc w:val="both"/>
        <w:rPr>
          <w:rFonts w:ascii="Times New Roman" w:hAnsi="Times New Roman"/>
        </w:rPr>
      </w:pPr>
      <w:r>
        <w:rPr>
          <w:rFonts w:ascii="Times New Roman" w:hAnsi="Times New Roman"/>
          <w:sz w:val="22"/>
        </w:rPr>
        <w:t xml:space="preserve">- possibility for ambient temperature (-40 </w:t>
      </w:r>
      <w:r>
        <w:rPr>
          <w:rFonts w:ascii="Times New Roman" w:hAnsi="Times New Roman"/>
          <w:sz w:val="13"/>
        </w:rPr>
        <w:t>0</w:t>
      </w:r>
      <w:r>
        <w:rPr>
          <w:rFonts w:ascii="Times New Roman" w:hAnsi="Times New Roman"/>
          <w:sz w:val="22"/>
        </w:rPr>
        <w:t xml:space="preserve">C to +55 </w:t>
      </w:r>
      <w:r>
        <w:rPr>
          <w:rFonts w:ascii="Times New Roman" w:hAnsi="Times New Roman"/>
          <w:sz w:val="13"/>
        </w:rPr>
        <w:t>0</w:t>
      </w:r>
      <w:r>
        <w:rPr>
          <w:rFonts w:ascii="Times New Roman" w:hAnsi="Times New Roman"/>
          <w:sz w:val="22"/>
        </w:rPr>
        <w:t>C)</w:t>
      </w:r>
    </w:p>
    <w:p>
      <w:pPr>
        <w:pStyle w:val="Normal"/>
        <w:jc w:val="both"/>
        <w:rPr>
          <w:rFonts w:ascii="Times New Roman" w:hAnsi="Times New Roman"/>
        </w:rPr>
      </w:pPr>
      <w:r>
        <w:rPr>
          <w:rFonts w:ascii="Times New Roman" w:hAnsi="Times New Roman"/>
          <w:sz w:val="24"/>
        </w:rPr>
        <w:t>- power to 53W with 6500lm</w:t>
      </w:r>
    </w:p>
    <w:p>
      <w:pPr>
        <w:pStyle w:val="Normal"/>
        <w:jc w:val="both"/>
        <w:rPr>
          <w:sz w:val="24"/>
        </w:rPr>
      </w:pPr>
      <w:r>
        <w:rPr>
          <w:rFonts w:ascii="Times New Roman" w:hAnsi="Times New Roman"/>
        </w:rPr>
      </w:r>
    </w:p>
    <w:p>
      <w:pPr>
        <w:pStyle w:val="Normal"/>
        <w:jc w:val="both"/>
        <w:rPr>
          <w:rFonts w:ascii="Times New Roman" w:hAnsi="Times New Roman"/>
        </w:rPr>
      </w:pPr>
      <w:r>
        <w:rPr>
          <w:rFonts w:ascii="Times New Roman" w:hAnsi="Times New Roman"/>
          <w:sz w:val="24"/>
        </w:rPr>
        <w:t>For the park surface, there are proposed two 120W reflectors, mounted on 8.0m height poles on T profile, and two 10W reflectors mounted on 5.0m height for lightning of the woods around the playground on T profile. For the part where the requisites will be mounted (second phase of the project) there are proposed LED bulbs to  be mounted on 8.0m height poles and two 10W reflectors mounted on 5.0m height on T profile. For lightning of the grass surfaces and bushes. Along the stages between the benches and on the tribunes, there are proposed biult-in walkover bulbs of 4W.</w:t>
      </w:r>
    </w:p>
    <w:p>
      <w:pPr>
        <w:pStyle w:val="Normal"/>
        <w:jc w:val="both"/>
        <w:rPr>
          <w:rFonts w:ascii="Times New Roman" w:hAnsi="Times New Roman"/>
        </w:rPr>
      </w:pPr>
      <w:r>
        <w:rPr>
          <w:rFonts w:ascii="Times New Roman" w:hAnsi="Times New Roman"/>
          <w:sz w:val="24"/>
        </w:rPr>
        <w:tab/>
        <w:t>The poles are mounted directly on the concrete foundations and are thick-walled galvanized steel with anchor plate, and hole of Ф70mm for the power cables. The poles are with closing lids for montage and installation of connecting switchboard with fuses. This switchboard is performed with IP54 protection.</w:t>
      </w:r>
    </w:p>
    <w:p>
      <w:pPr>
        <w:pStyle w:val="Normal"/>
        <w:jc w:val="both"/>
        <w:rPr>
          <w:rFonts w:ascii="Times New Roman" w:hAnsi="Times New Roman"/>
        </w:rPr>
      </w:pPr>
      <w:r>
        <w:rPr>
          <w:rFonts w:ascii="Times New Roman" w:hAnsi="Times New Roman"/>
          <w:sz w:val="24"/>
        </w:rPr>
        <w:t>The power cables from the new projected switchboard, placed nearby the one of the park entrances (as presented on drawing 1) to the proposed poles to be of category NAYY-4x16 mm2 and FeZn 25x4 mm placed in the underground row with dimensions 0,4x0,8m. This power cable, where pass through the street, to be placed in plastic pipe along the passing away. To each pole there are free ends of about 2m cable left above the ground. Poles to be connected with the with grounding tape FeZn 25x4mm with cross-hatching. Up to the pumping station for irrigation, a power cable is proposed from the switchboard. The steel profiles from the canopy and other metal parts to be connected with the grounding tape of the park grounding.</w:t>
      </w:r>
    </w:p>
    <w:sectPr>
      <w:headerReference w:type="default" r:id="rId2"/>
      <w:headerReference w:type="first" r:id="rId3"/>
      <w:footerReference w:type="default" r:id="rId4"/>
      <w:footerReference w:type="first" r:id="rId5"/>
      <w:type w:val="nextPage"/>
      <w:pgSz w:w="11906" w:h="16838"/>
      <w:pgMar w:left="1298" w:right="1298" w:header="720" w:top="1298" w:footer="720" w:bottom="1077" w:gutter="0"/>
      <w:pgNumType w:start="1" w:fmt="decimal"/>
      <w:formProt w:val="false"/>
      <w:vAlign w:val="center"/>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Liberation Sans">
    <w:altName w:val="Arial"/>
    <w:charset w:val="00"/>
    <w:family w:val="swiss"/>
    <w:pitch w:val="variable"/>
  </w:font>
  <w:font w:name="Courier New">
    <w:charset w:val="00"/>
    <w:family w:val="roman"/>
    <w:pitch w:val="variable"/>
  </w:font>
  <w:font w:name="Tahoma">
    <w:charset w:val="00"/>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ind w:right="360" w:hanging="0"/>
      <w:rPr>
        <w:lang w:val="en-GB"/>
      </w:rPr>
    </w:pPr>
    <w:r>
      <w:rPr>
        <w:rFonts w:ascii="Arial" w:hAnsi="Arial"/>
        <w:sz w:val="20"/>
      </w:rPr>
      <w:t>2005</w:t>
    </w:r>
    <w:r>
      <mc:AlternateContent>
        <mc:Choice Requires="wps">
          <w:drawing>
            <wp:anchor behindDoc="0" distT="0" distB="0" distL="0" distR="0" simplePos="0" locked="0" layoutInCell="1" allowOverlap="1" relativeHeight="3">
              <wp:simplePos x="0" y="0"/>
              <wp:positionH relativeFrom="margin">
                <wp:align>right</wp:align>
              </wp:positionH>
              <wp:positionV relativeFrom="paragraph">
                <wp:posOffset>635</wp:posOffset>
              </wp:positionV>
              <wp:extent cx="76835" cy="175260"/>
              <wp:effectExtent l="0" t="0" r="0" b="0"/>
              <wp:wrapSquare wrapText="largest"/>
              <wp:docPr id="1" name="Frame1"/>
              <a:graphic xmlns:a="http://schemas.openxmlformats.org/drawingml/2006/main">
                <a:graphicData uri="http://schemas.microsoft.com/office/word/2010/wordprocessingShape">
                  <wps:wsp>
                    <wps:cNvSpPr txBox="1"/>
                    <wps:spPr>
                      <a:xfrm>
                        <a:off x="0" y="0"/>
                        <a:ext cx="76835" cy="175260"/>
                      </a:xfrm>
                      <a:prstGeom prst="rect"/>
                      <a:solidFill>
                        <a:srgbClr val="FFFFFF">
                          <a:alpha val="0"/>
                        </a:srgbClr>
                      </a:solidFill>
                    </wps:spPr>
                    <wps:txbx>
                      <w:txbxContent>
                        <w:p>
                          <w:pPr>
                            <w:pStyle w:val="Footer"/>
                            <w:pBdr/>
                            <w:rPr/>
                          </w:pPr>
                          <w:r>
                            <w:rPr>
                              <w:rStyle w:val="Pagenumber"/>
                              <w:lang w:val="en-GB"/>
                            </w:rPr>
                            <w:fldChar w:fldCharType="begin"/>
                          </w:r>
                          <w:r>
                            <w:rPr>
                              <w:rStyle w:val="Pagenumber"/>
                            </w:rPr>
                            <w:instrText> PAGE </w:instrText>
                          </w:r>
                          <w:r>
                            <w:rPr>
                              <w:rStyle w:val="Pagenumber"/>
                            </w:rPr>
                            <w:fldChar w:fldCharType="separate"/>
                          </w:r>
                          <w:r>
                            <w:rPr>
                              <w:rStyle w:val="Pagenumber"/>
                            </w:rPr>
                            <w:t>3</w:t>
                          </w:r>
                          <w:r>
                            <w:rPr>
                              <w:rStyle w:val="Pagenumber"/>
                            </w:rPr>
                            <w:fldChar w:fldCharType="end"/>
                          </w:r>
                        </w:p>
                      </w:txbxContent>
                    </wps:txbx>
                    <wps:bodyPr anchor="t" lIns="0" tIns="0" rIns="0" bIns="0">
                      <a:spAutoFit/>
                    </wps:bodyPr>
                  </wps:wsp>
                </a:graphicData>
              </a:graphic>
            </wp:anchor>
          </w:drawing>
        </mc:Choice>
        <mc:Fallback>
          <w:pict>
            <v:rect fillcolor="#FFFFFF" style="position:absolute;rotation:0;width:6.05pt;height:13.8pt;mso-wrap-distance-left:0pt;mso-wrap-distance-right:0pt;mso-wrap-distance-top:0pt;mso-wrap-distance-bottom:0pt;margin-top:0.05pt;mso-position-vertical-relative:text;margin-left:459.45pt;mso-position-horizontal:right;mso-position-horizontal-relative:margin">
              <v:fill opacity="0f"/>
              <v:textbox inset="0in,0in,0in,0in">
                <w:txbxContent>
                  <w:p>
                    <w:pPr>
                      <w:pStyle w:val="Footer"/>
                      <w:pBdr/>
                      <w:rPr/>
                    </w:pPr>
                    <w:r>
                      <w:rPr>
                        <w:rStyle w:val="Pagenumber"/>
                        <w:lang w:val="en-GB"/>
                      </w:rPr>
                      <w:fldChar w:fldCharType="begin"/>
                    </w:r>
                    <w:r>
                      <w:rPr>
                        <w:rStyle w:val="Pagenumber"/>
                      </w:rPr>
                      <w:instrText> PAGE </w:instrText>
                    </w:r>
                    <w:r>
                      <w:rPr>
                        <w:rStyle w:val="Pagenumber"/>
                      </w:rPr>
                      <w:fldChar w:fldCharType="separate"/>
                    </w:r>
                    <w:r>
                      <w:rPr>
                        <w:rStyle w:val="Pagenumber"/>
                      </w:rPr>
                      <w:t>3</w:t>
                    </w:r>
                    <w:r>
                      <w:rPr>
                        <w:rStyle w:val="Pagenumber"/>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tabs>
        <w:tab w:val="clear" w:pos="4320"/>
        <w:tab w:val="clear" w:pos="8640"/>
        <w:tab w:val="right" w:pos="9356" w:leader="none"/>
      </w:tabs>
      <w:ind w:right="-45" w:hanging="0"/>
      <w:rPr>
        <w:b/>
        <w:b/>
        <w:sz w:val="18"/>
        <w:szCs w:val="18"/>
        <w:lang w:val="en-GB"/>
      </w:rPr>
    </w:pPr>
    <w:r>
      <w:rPr>
        <w:b/>
        <w:sz w:val="18"/>
        <w:szCs w:val="18"/>
        <w:lang w:val="en-GB"/>
      </w:rPr>
    </w:r>
  </w:p>
  <w:p>
    <w:pPr>
      <w:pStyle w:val="Footer"/>
      <w:tabs>
        <w:tab w:val="clear" w:pos="4320"/>
        <w:tab w:val="clear" w:pos="8640"/>
        <w:tab w:val="right" w:pos="9356" w:leader="none"/>
      </w:tabs>
      <w:ind w:right="-45" w:hanging="0"/>
      <w:rPr/>
    </w:pPr>
    <w:r>
      <w:rPr>
        <w:b/>
        <w:sz w:val="18"/>
        <w:lang w:val="nl-BE"/>
      </w:rPr>
      <w:t>2021.1</w:t>
    </w:r>
    <w:r>
      <w:rPr>
        <w:b/>
        <w:sz w:val="18"/>
        <w:szCs w:val="18"/>
        <w:lang w:val="nl-BE"/>
      </w:rPr>
      <w:tab/>
    </w:r>
    <w:r>
      <w:rPr>
        <w:sz w:val="18"/>
        <w:szCs w:val="18"/>
        <w:lang w:val="nl-BE"/>
      </w:rPr>
      <w:t xml:space="preserve">Page </w:t>
    </w:r>
    <w:r>
      <w:rPr>
        <w:rStyle w:val="Pagenumber"/>
        <w:sz w:val="18"/>
        <w:szCs w:val="18"/>
      </w:rPr>
      <w:fldChar w:fldCharType="begin"/>
    </w:r>
    <w:r>
      <w:rPr>
        <w:rStyle w:val="Pagenumber"/>
        <w:sz w:val="18"/>
        <w:szCs w:val="18"/>
      </w:rPr>
      <w:instrText> PAGE </w:instrText>
    </w:r>
    <w:r>
      <w:rPr>
        <w:rStyle w:val="Pagenumber"/>
        <w:sz w:val="18"/>
        <w:szCs w:val="18"/>
      </w:rPr>
      <w:fldChar w:fldCharType="separate"/>
    </w:r>
    <w:r>
      <w:rPr>
        <w:rStyle w:val="Pagenumber"/>
        <w:sz w:val="18"/>
        <w:szCs w:val="18"/>
      </w:rPr>
      <w:t>1</w:t>
    </w:r>
    <w:r>
      <w:rPr>
        <w:rStyle w:val="Pagenumber"/>
        <w:sz w:val="18"/>
        <w:szCs w:val="18"/>
      </w:rPr>
      <w:fldChar w:fldCharType="end"/>
    </w:r>
    <w:r>
      <w:rPr>
        <w:rStyle w:val="Pagenumber"/>
        <w:sz w:val="18"/>
        <w:szCs w:val="18"/>
        <w:lang w:val="nl-BE"/>
      </w:rPr>
      <w:t xml:space="preserve"> of </w:t>
    </w:r>
    <w:r>
      <w:rPr>
        <w:rStyle w:val="Pagenumber"/>
        <w:sz w:val="18"/>
        <w:szCs w:val="18"/>
      </w:rPr>
      <w:fldChar w:fldCharType="begin"/>
    </w:r>
    <w:r>
      <w:rPr>
        <w:rStyle w:val="Pagenumber"/>
        <w:sz w:val="18"/>
        <w:szCs w:val="18"/>
      </w:rPr>
      <w:instrText> NUMPAGES </w:instrText>
    </w:r>
    <w:r>
      <w:rPr>
        <w:rStyle w:val="Pagenumber"/>
        <w:sz w:val="18"/>
        <w:szCs w:val="18"/>
      </w:rPr>
      <w:fldChar w:fldCharType="separate"/>
    </w:r>
    <w:r>
      <w:rPr>
        <w:rStyle w:val="Pagenumber"/>
        <w:sz w:val="18"/>
        <w:szCs w:val="18"/>
      </w:rPr>
      <w:t>3</w:t>
    </w:r>
    <w:r>
      <w:rPr>
        <w:rStyle w:val="Pagenumber"/>
        <w:sz w:val="18"/>
        <w:szCs w:val="18"/>
      </w:rPr>
      <w:fldChar w:fldCharType="end"/>
    </w:r>
  </w:p>
  <w:p>
    <w:pPr>
      <w:pStyle w:val="Footer"/>
      <w:tabs>
        <w:tab w:val="clear" w:pos="4320"/>
        <w:tab w:val="clear" w:pos="8640"/>
        <w:tab w:val="center" w:pos="8505" w:leader="none"/>
      </w:tabs>
      <w:ind w:right="360" w:hanging="0"/>
      <w:rPr/>
    </w:pPr>
    <w:r>
      <w:rPr>
        <w:sz w:val="18"/>
        <w:szCs w:val="18"/>
        <w:lang w:val="en-GB"/>
      </w:rPr>
      <w:fldChar w:fldCharType="begin"/>
    </w:r>
    <w:r>
      <w:rPr>
        <w:sz w:val="18"/>
        <w:szCs w:val="18"/>
      </w:rPr>
      <w:instrText> FILENAME </w:instrText>
    </w:r>
    <w:r>
      <w:rPr>
        <w:sz w:val="18"/>
        <w:szCs w:val="18"/>
      </w:rPr>
      <w:fldChar w:fldCharType="separate"/>
    </w:r>
    <w:r>
      <w:rPr>
        <w:sz w:val="18"/>
        <w:szCs w:val="18"/>
      </w:rPr>
      <w:t>d4u_techspec_en.docx</w:t>
    </w:r>
    <w:r>
      <w:rPr>
        <w:sz w:val="18"/>
        <w:szCs w:val="18"/>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jc w:val="right"/>
      <w:rPr>
        <w:lang w:val="fr-BE"/>
      </w:rPr>
    </w:pPr>
    <w:r>
      <w:rPr>
        <w:lang w:val="fr-BE"/>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8"/>
      <w:numFmt w:val="upperLetter"/>
      <w:lvlText w:val="%1."/>
      <w:lvlJc w:val="left"/>
      <w:pPr>
        <w:tabs>
          <w:tab w:val="num" w:pos="360"/>
        </w:tabs>
        <w:ind w:left="360" w:hanging="36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pStyle w:val="Heading4"/>
      <w:numFmt w:val="none"/>
      <w:suff w:val="nothing"/>
      <w:lvlText w:val=""/>
      <w:lvlJc w:val="left"/>
      <w:pPr>
        <w:tabs>
          <w:tab w:val="num" w:pos="360"/>
        </w:tabs>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100"/>
  <w:embedSystemFonts/>
  <w:defaultTabStop w:val="72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jc w:val="left"/>
    </w:pPr>
    <w:rPr>
      <w:rFonts w:ascii="Times New Roman" w:hAnsi="Times New Roman" w:eastAsia="Times New Roman" w:cs="Times New Roman"/>
      <w:color w:val="auto"/>
      <w:kern w:val="0"/>
      <w:sz w:val="24"/>
      <w:szCs w:val="20"/>
      <w:lang w:val="fr-FR" w:eastAsia="en-US" w:bidi="ar-SA"/>
    </w:rPr>
  </w:style>
  <w:style w:type="paragraph" w:styleId="Heading1">
    <w:name w:val="Heading 1"/>
    <w:basedOn w:val="Normal"/>
    <w:next w:val="Normal"/>
    <w:qFormat/>
    <w:pPr>
      <w:keepNext w:val="true"/>
      <w:jc w:val="center"/>
      <w:outlineLvl w:val="0"/>
    </w:pPr>
    <w:rPr>
      <w:rFonts w:ascii="Arial" w:hAnsi="Arial"/>
      <w:b/>
      <w:color w:val="FF0000"/>
      <w:sz w:val="28"/>
    </w:rPr>
  </w:style>
  <w:style w:type="paragraph" w:styleId="Heading2">
    <w:name w:val="Heading 2"/>
    <w:basedOn w:val="Normal"/>
    <w:next w:val="Normal"/>
    <w:qFormat/>
    <w:pPr>
      <w:keepNext w:val="true"/>
      <w:ind w:left="1276" w:hanging="425"/>
      <w:jc w:val="both"/>
      <w:outlineLvl w:val="1"/>
    </w:pPr>
    <w:rPr>
      <w:rFonts w:ascii="Arial" w:hAnsi="Arial"/>
      <w:b/>
      <w:sz w:val="20"/>
    </w:rPr>
  </w:style>
  <w:style w:type="paragraph" w:styleId="Heading3">
    <w:name w:val="Heading 3"/>
    <w:basedOn w:val="Normal"/>
    <w:next w:val="Normal"/>
    <w:qFormat/>
    <w:pPr>
      <w:keepNext w:val="true"/>
      <w:jc w:val="center"/>
      <w:outlineLvl w:val="2"/>
    </w:pPr>
    <w:rPr>
      <w:rFonts w:ascii="Arial" w:hAnsi="Arial"/>
      <w:b/>
      <w:color w:val="FF0000"/>
      <w:sz w:val="36"/>
    </w:rPr>
  </w:style>
  <w:style w:type="paragraph" w:styleId="Heading4">
    <w:name w:val="Heading 4"/>
    <w:basedOn w:val="Normal"/>
    <w:next w:val="Normal"/>
    <w:qFormat/>
    <w:pPr>
      <w:keepNext w:val="true"/>
      <w:numPr>
        <w:ilvl w:val="3"/>
        <w:numId w:val="1"/>
      </w:numPr>
      <w:spacing w:before="240" w:after="60"/>
      <w:outlineLvl w:val="3"/>
    </w:pPr>
    <w:rPr>
      <w:rFonts w:ascii="Arial" w:hAnsi="Arial"/>
      <w:b/>
      <w:lang w:val="sv-SE"/>
    </w:rPr>
  </w:style>
  <w:style w:type="paragraph" w:styleId="Heading5">
    <w:name w:val="Heading 5"/>
    <w:basedOn w:val="Normal"/>
    <w:next w:val="Normal"/>
    <w:qFormat/>
    <w:pPr>
      <w:keepNext w:val="true"/>
      <w:jc w:val="both"/>
      <w:outlineLvl w:val="4"/>
    </w:pPr>
    <w:rPr>
      <w:rFonts w:ascii="Arial" w:hAnsi="Arial"/>
      <w:b/>
      <w:sz w:val="20"/>
    </w:rPr>
  </w:style>
  <w:style w:type="paragraph" w:styleId="Heading7">
    <w:name w:val="Heading 7"/>
    <w:basedOn w:val="Normal"/>
    <w:next w:val="Normal"/>
    <w:qFormat/>
    <w:pPr>
      <w:keepNext w:val="true"/>
      <w:jc w:val="center"/>
      <w:outlineLvl w:val="6"/>
    </w:pPr>
    <w:rPr>
      <w:rFonts w:ascii="Arial" w:hAnsi="Arial"/>
      <w:b/>
      <w:color w:val="008000"/>
      <w:sz w:val="32"/>
    </w:rPr>
  </w:style>
  <w:style w:type="paragraph" w:styleId="Heading8">
    <w:name w:val="Heading 8"/>
    <w:basedOn w:val="Normal"/>
    <w:next w:val="Normal"/>
    <w:qFormat/>
    <w:pPr>
      <w:keepNext w:val="true"/>
      <w:numPr>
        <w:ilvl w:val="0"/>
        <w:numId w:val="1"/>
      </w:numPr>
      <w:jc w:val="both"/>
      <w:outlineLvl w:val="0"/>
    </w:pPr>
    <w:rPr>
      <w:rFonts w:ascii="Arial" w:hAnsi="Arial"/>
      <w:b/>
    </w:rPr>
  </w:style>
  <w:style w:type="character" w:styleId="DefaultParagraphFont" w:default="1">
    <w:name w:val="Default Paragraph Font"/>
    <w:uiPriority w:val="1"/>
    <w:semiHidden/>
    <w:unhideWhenUsed/>
    <w:qFormat/>
    <w:rPr/>
  </w:style>
  <w:style w:type="character" w:styleId="InternetLink">
    <w:name w:val="Internet Link"/>
    <w:rPr>
      <w:color w:val="0000FF"/>
      <w:u w:val="single"/>
    </w:rPr>
  </w:style>
  <w:style w:type="character" w:styleId="FootnoteCharacters">
    <w:name w:val="Footnote Characters"/>
    <w:semiHidden/>
    <w:qFormat/>
    <w:rPr>
      <w:vertAlign w:val="superscript"/>
    </w:rPr>
  </w:style>
  <w:style w:type="character" w:styleId="FootnoteAnchor">
    <w:name w:val="Footnote Anchor"/>
    <w:rPr>
      <w:vertAlign w:val="superscript"/>
    </w:rPr>
  </w:style>
  <w:style w:type="character" w:styleId="Pagenumber">
    <w:name w:val="page number"/>
    <w:basedOn w:val="DefaultParagraphFont"/>
    <w:qFormat/>
    <w:rPr/>
  </w:style>
  <w:style w:type="character" w:styleId="FollowedHyperlink">
    <w:name w:val="FollowedHyperlink"/>
    <w:qFormat/>
    <w:rPr>
      <w:color w:val="800080"/>
      <w:u w:val="single"/>
    </w:rPr>
  </w:style>
  <w:style w:type="character" w:styleId="ListLabel1">
    <w:name w:val="ListLabel 1"/>
    <w:qFormat/>
    <w:rPr>
      <w:b/>
    </w:rPr>
  </w:style>
  <w:style w:type="paragraph" w:styleId="Heading">
    <w:name w:val="Heading"/>
    <w:basedOn w:val="Normal"/>
    <w:next w:val="TextBody"/>
    <w:qFormat/>
    <w:pPr>
      <w:keepNext w:val="true"/>
      <w:spacing w:before="240" w:after="120"/>
    </w:pPr>
    <w:rPr>
      <w:rFonts w:ascii="Liberation Sans" w:hAnsi="Liberation Sans" w:eastAsia="Microsoft YaHei" w:cs="Mangal"/>
      <w:sz w:val="28"/>
      <w:szCs w:val="28"/>
    </w:rPr>
  </w:style>
  <w:style w:type="paragraph" w:styleId="TextBody">
    <w:name w:val="Body Text"/>
    <w:basedOn w:val="Normal"/>
    <w:pPr>
      <w:jc w:val="both"/>
    </w:pPr>
    <w:rPr>
      <w:rFonts w:ascii="Arial" w:hAnsi="Arial"/>
      <w:sz w:val="20"/>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Oddlnadpis" w:customStyle="1">
    <w:name w:val="oddíl-nadpis"/>
    <w:basedOn w:val="Normal"/>
    <w:qFormat/>
    <w:pPr>
      <w:keepNext w:val="true"/>
      <w:widowControl w:val="false"/>
      <w:tabs>
        <w:tab w:val="clear" w:pos="720"/>
        <w:tab w:val="left" w:pos="567" w:leader="none"/>
      </w:tabs>
      <w:spacing w:lineRule="exact" w:line="240" w:before="240" w:after="0"/>
    </w:pPr>
    <w:rPr>
      <w:rFonts w:ascii="Arial" w:hAnsi="Arial"/>
      <w:b/>
      <w:lang w:val="cs-CZ"/>
    </w:rPr>
  </w:style>
  <w:style w:type="paragraph" w:styleId="Text3mezera" w:customStyle="1">
    <w:name w:val="text - 3 mezera"/>
    <w:basedOn w:val="Normal"/>
    <w:qFormat/>
    <w:pPr>
      <w:widowControl w:val="false"/>
      <w:spacing w:lineRule="exact" w:line="240" w:before="60" w:after="0"/>
      <w:jc w:val="both"/>
    </w:pPr>
    <w:rPr>
      <w:rFonts w:ascii="Arial" w:hAnsi="Arial"/>
      <w:lang w:val="cs-CZ"/>
    </w:rPr>
  </w:style>
  <w:style w:type="paragraph" w:styleId="1zanoren" w:customStyle="1">
    <w:name w:val="1.zanorení"/>
    <w:basedOn w:val="Text3mezera"/>
    <w:qFormat/>
    <w:pPr>
      <w:ind w:left="2127" w:hanging="1418"/>
    </w:pPr>
    <w:rPr/>
  </w:style>
  <w:style w:type="paragraph" w:styleId="2zanoren" w:customStyle="1">
    <w:name w:val="2.zanorení"/>
    <w:basedOn w:val="Text3mezera"/>
    <w:qFormat/>
    <w:pPr>
      <w:ind w:left="3402" w:hanging="1278"/>
    </w:pPr>
    <w:rPr/>
  </w:style>
  <w:style w:type="paragraph" w:styleId="Bulletsub" w:customStyle="1">
    <w:name w:val="bullet_sub"/>
    <w:basedOn w:val="Normal"/>
    <w:qFormat/>
    <w:pPr>
      <w:tabs>
        <w:tab w:val="left" w:pos="-1440" w:leader="none"/>
        <w:tab w:val="left" w:pos="-720" w:leader="none"/>
        <w:tab w:val="left" w:pos="567" w:leader="none"/>
        <w:tab w:val="left" w:pos="720" w:leader="none"/>
        <w:tab w:val="left" w:pos="1080" w:leader="none"/>
        <w:tab w:val="left" w:pos="1440" w:leader="none"/>
        <w:tab w:val="left" w:pos="1800" w:leader="none"/>
        <w:tab w:val="left" w:pos="2520" w:leader="none"/>
        <w:tab w:val="left" w:pos="2880" w:leader="none"/>
        <w:tab w:val="left" w:pos="3240" w:leader="none"/>
        <w:tab w:val="left" w:pos="3600" w:leader="none"/>
        <w:tab w:val="left" w:pos="4320" w:leader="none"/>
        <w:tab w:val="left" w:pos="5040" w:leader="none"/>
        <w:tab w:val="left" w:pos="5760" w:leader="none"/>
        <w:tab w:val="left" w:pos="6480" w:leader="none"/>
        <w:tab w:val="left" w:pos="7200" w:leader="none"/>
        <w:tab w:val="left" w:pos="7920" w:leader="none"/>
      </w:tabs>
      <w:spacing w:before="240" w:after="0"/>
      <w:ind w:left="2912" w:hanging="360"/>
      <w:jc w:val="both"/>
    </w:pPr>
    <w:rPr>
      <w:rFonts w:ascii="Arial" w:hAnsi="Arial"/>
      <w:sz w:val="22"/>
    </w:rPr>
  </w:style>
  <w:style w:type="paragraph" w:styleId="Contents2">
    <w:name w:val="TOC 2"/>
    <w:basedOn w:val="Normal"/>
    <w:next w:val="Normal"/>
    <w:autoRedefine/>
    <w:semiHidden/>
    <w:pPr>
      <w:tabs>
        <w:tab w:val="clear" w:pos="720"/>
        <w:tab w:val="left" w:pos="1418" w:leader="none"/>
        <w:tab w:val="right" w:pos="9072" w:leader="hyphen"/>
      </w:tabs>
      <w:ind w:left="850" w:right="424" w:hanging="425"/>
      <w:jc w:val="both"/>
    </w:pPr>
    <w:rPr>
      <w:rFonts w:ascii="Arial" w:hAnsi="Arial"/>
      <w:b/>
      <w:smallCaps/>
      <w:sz w:val="22"/>
    </w:rPr>
  </w:style>
  <w:style w:type="paragraph" w:styleId="Contents1">
    <w:name w:val="TOC 1"/>
    <w:basedOn w:val="Normal"/>
    <w:next w:val="Normal"/>
    <w:autoRedefine/>
    <w:semiHidden/>
    <w:pPr>
      <w:tabs>
        <w:tab w:val="clear" w:pos="720"/>
        <w:tab w:val="left" w:pos="400" w:leader="none"/>
        <w:tab w:val="left" w:pos="851" w:leader="none"/>
        <w:tab w:val="left" w:pos="1701" w:leader="none"/>
        <w:tab w:val="right" w:pos="9062" w:leader="hyphen"/>
      </w:tabs>
    </w:pPr>
    <w:rPr>
      <w:i/>
      <w:sz w:val="22"/>
    </w:rPr>
  </w:style>
  <w:style w:type="paragraph" w:styleId="Bullet3" w:customStyle="1">
    <w:name w:val="bullet-3"/>
    <w:basedOn w:val="Normal"/>
    <w:qFormat/>
    <w:pPr>
      <w:widowControl w:val="false"/>
      <w:spacing w:lineRule="exact" w:line="240" w:before="240" w:after="0"/>
      <w:ind w:left="2212" w:hanging="284"/>
      <w:jc w:val="both"/>
    </w:pPr>
    <w:rPr>
      <w:rFonts w:ascii="Arial" w:hAnsi="Arial"/>
      <w:lang w:val="cs-CZ"/>
    </w:rPr>
  </w:style>
  <w:style w:type="paragraph" w:styleId="Footer">
    <w:name w:val="Footer"/>
    <w:basedOn w:val="Normal"/>
    <w:pPr>
      <w:tabs>
        <w:tab w:val="clear" w:pos="720"/>
        <w:tab w:val="center" w:pos="4320" w:leader="none"/>
        <w:tab w:val="right" w:pos="8640" w:leader="none"/>
      </w:tabs>
    </w:pPr>
    <w:rPr/>
  </w:style>
  <w:style w:type="paragraph" w:styleId="Header">
    <w:name w:val="Header"/>
    <w:basedOn w:val="Normal"/>
    <w:pPr>
      <w:tabs>
        <w:tab w:val="clear" w:pos="720"/>
        <w:tab w:val="center" w:pos="4536" w:leader="none"/>
        <w:tab w:val="right" w:pos="9072" w:leader="none"/>
      </w:tabs>
    </w:pPr>
    <w:rPr>
      <w:rFonts w:ascii="Arial" w:hAnsi="Arial"/>
      <w:sz w:val="20"/>
    </w:rPr>
  </w:style>
  <w:style w:type="paragraph" w:styleId="TextBodyIndent">
    <w:name w:val="Body Text Indent"/>
    <w:basedOn w:val="Normal"/>
    <w:pPr>
      <w:jc w:val="both"/>
    </w:pPr>
    <w:rPr>
      <w:sz w:val="22"/>
    </w:rPr>
  </w:style>
  <w:style w:type="paragraph" w:styleId="NormalIndent">
    <w:name w:val="Normal Indent"/>
    <w:basedOn w:val="Normal"/>
    <w:qFormat/>
    <w:pPr>
      <w:ind w:left="708" w:hanging="0"/>
    </w:pPr>
    <w:rPr>
      <w:rFonts w:ascii="Arial" w:hAnsi="Arial"/>
      <w:sz w:val="20"/>
    </w:rPr>
  </w:style>
  <w:style w:type="paragraph" w:styleId="Tabulka" w:customStyle="1">
    <w:name w:val="tabulka"/>
    <w:basedOn w:val="Text3mezera"/>
    <w:qFormat/>
    <w:pPr>
      <w:spacing w:before="120" w:after="0"/>
      <w:jc w:val="center"/>
    </w:pPr>
    <w:rPr>
      <w:sz w:val="20"/>
    </w:rPr>
  </w:style>
  <w:style w:type="paragraph" w:styleId="Footnote">
    <w:name w:val="Footnote Text"/>
    <w:basedOn w:val="Normal"/>
    <w:semiHidden/>
    <w:pPr/>
    <w:rPr>
      <w:sz w:val="20"/>
    </w:rPr>
  </w:style>
  <w:style w:type="paragraph" w:styleId="Volume" w:customStyle="1">
    <w:name w:val="Volume"/>
    <w:basedOn w:val="Text"/>
    <w:next w:val="Section"/>
    <w:qFormat/>
    <w:pPr>
      <w:pageBreakBefore/>
      <w:spacing w:lineRule="exact" w:line="360" w:before="360" w:after="0"/>
      <w:jc w:val="center"/>
    </w:pPr>
    <w:rPr>
      <w:b/>
      <w:sz w:val="36"/>
    </w:rPr>
  </w:style>
  <w:style w:type="paragraph" w:styleId="Text" w:customStyle="1">
    <w:name w:val="text"/>
    <w:qFormat/>
    <w:pPr>
      <w:widowControl w:val="false"/>
      <w:bidi w:val="0"/>
      <w:spacing w:lineRule="exact" w:line="240" w:before="240" w:after="0"/>
      <w:jc w:val="both"/>
    </w:pPr>
    <w:rPr>
      <w:rFonts w:ascii="Arial" w:hAnsi="Arial" w:eastAsia="Times New Roman" w:cs="Times New Roman"/>
      <w:color w:val="auto"/>
      <w:kern w:val="0"/>
      <w:sz w:val="24"/>
      <w:szCs w:val="20"/>
      <w:lang w:val="cs-CZ" w:eastAsia="en-US" w:bidi="ar-SA"/>
    </w:rPr>
  </w:style>
  <w:style w:type="paragraph" w:styleId="Section" w:customStyle="1">
    <w:name w:val="Section"/>
    <w:basedOn w:val="Volume"/>
    <w:qFormat/>
    <w:pPr>
      <w:pageBreakBefore w:val="false"/>
      <w:spacing w:before="0" w:after="0"/>
    </w:pPr>
    <w:rPr>
      <w:sz w:val="32"/>
    </w:rPr>
  </w:style>
  <w:style w:type="paragraph" w:styleId="Textcslovan" w:customStyle="1">
    <w:name w:val="text císlovaný"/>
    <w:basedOn w:val="Text"/>
    <w:qFormat/>
    <w:pPr>
      <w:ind w:left="567" w:hanging="567"/>
    </w:pPr>
    <w:rPr/>
  </w:style>
  <w:style w:type="paragraph" w:styleId="NadpisSTRANA" w:customStyle="1">
    <w:name w:val="Nadpis - STRANA"/>
    <w:basedOn w:val="Text"/>
    <w:next w:val="Volume"/>
    <w:qFormat/>
    <w:pPr>
      <w:pageBreakBefore/>
      <w:spacing w:lineRule="exact" w:line="520" w:before="5040" w:after="0"/>
      <w:jc w:val="center"/>
    </w:pPr>
    <w:rPr>
      <w:b/>
      <w:sz w:val="36"/>
    </w:rPr>
  </w:style>
  <w:style w:type="paragraph" w:styleId="PlainText">
    <w:name w:val="Plain Text"/>
    <w:basedOn w:val="Normal"/>
    <w:qFormat/>
    <w:pPr/>
    <w:rPr>
      <w:rFonts w:ascii="Courier New" w:hAnsi="Courier New"/>
      <w:sz w:val="20"/>
      <w:lang w:val="en-GB"/>
    </w:rPr>
  </w:style>
  <w:style w:type="paragraph" w:styleId="Blockquote" w:customStyle="1">
    <w:name w:val="Blockquote"/>
    <w:basedOn w:val="Normal"/>
    <w:qFormat/>
    <w:pPr>
      <w:widowControl w:val="false"/>
      <w:spacing w:before="100" w:after="100"/>
      <w:ind w:left="360" w:right="360" w:hanging="0"/>
    </w:pPr>
    <w:rPr/>
  </w:style>
  <w:style w:type="paragraph" w:styleId="Text1" w:customStyle="1">
    <w:name w:val="Text 1"/>
    <w:basedOn w:val="Normal"/>
    <w:qFormat/>
    <w:pPr>
      <w:spacing w:before="120" w:after="120"/>
      <w:ind w:left="851" w:hanging="0"/>
      <w:jc w:val="both"/>
    </w:pPr>
    <w:rPr/>
  </w:style>
  <w:style w:type="paragraph" w:styleId="ManualNumPar1" w:customStyle="1">
    <w:name w:val="Manual NumPar 1"/>
    <w:basedOn w:val="Normal"/>
    <w:next w:val="Text1"/>
    <w:qFormat/>
    <w:pPr>
      <w:spacing w:before="120" w:after="120"/>
      <w:ind w:left="851" w:hanging="851"/>
      <w:jc w:val="both"/>
    </w:pPr>
    <w:rPr/>
  </w:style>
  <w:style w:type="paragraph" w:styleId="Point1" w:customStyle="1">
    <w:name w:val="Point 1"/>
    <w:basedOn w:val="Normal"/>
    <w:qFormat/>
    <w:pPr>
      <w:spacing w:before="120" w:after="120"/>
      <w:ind w:left="1418" w:hanging="567"/>
      <w:jc w:val="both"/>
    </w:pPr>
    <w:r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Contents3">
    <w:name w:val="TOC 3"/>
    <w:basedOn w:val="Normal"/>
    <w:next w:val="Normal"/>
    <w:autoRedefine/>
    <w:semiHidden/>
    <w:pPr>
      <w:ind w:left="480" w:hanging="0"/>
    </w:pPr>
    <w:rPr/>
  </w:style>
  <w:style w:type="paragraph" w:styleId="Contents4">
    <w:name w:val="TOC 4"/>
    <w:basedOn w:val="Normal"/>
    <w:next w:val="Normal"/>
    <w:autoRedefine/>
    <w:semiHidden/>
    <w:pPr>
      <w:ind w:left="720" w:hanging="0"/>
    </w:pPr>
    <w:rPr/>
  </w:style>
  <w:style w:type="paragraph" w:styleId="Contents5">
    <w:name w:val="TOC 5"/>
    <w:basedOn w:val="Normal"/>
    <w:next w:val="Normal"/>
    <w:autoRedefine/>
    <w:semiHidden/>
    <w:pPr>
      <w:ind w:left="960" w:hanging="0"/>
    </w:pPr>
    <w:rPr/>
  </w:style>
  <w:style w:type="paragraph" w:styleId="Contents6">
    <w:name w:val="TOC 6"/>
    <w:basedOn w:val="Normal"/>
    <w:next w:val="Normal"/>
    <w:autoRedefine/>
    <w:semiHidden/>
    <w:pPr>
      <w:ind w:left="1200" w:hanging="0"/>
    </w:pPr>
    <w:rPr/>
  </w:style>
  <w:style w:type="paragraph" w:styleId="Contents7">
    <w:name w:val="TOC 7"/>
    <w:basedOn w:val="Normal"/>
    <w:next w:val="Normal"/>
    <w:autoRedefine/>
    <w:semiHidden/>
    <w:pPr>
      <w:ind w:left="1440" w:hanging="0"/>
    </w:pPr>
    <w:rPr/>
  </w:style>
  <w:style w:type="paragraph" w:styleId="Contents8">
    <w:name w:val="TOC 8"/>
    <w:basedOn w:val="Normal"/>
    <w:next w:val="Normal"/>
    <w:autoRedefine/>
    <w:semiHidden/>
    <w:pPr>
      <w:ind w:left="1680" w:hanging="0"/>
    </w:pPr>
    <w:rPr/>
  </w:style>
  <w:style w:type="paragraph" w:styleId="Contents9">
    <w:name w:val="TOC 9"/>
    <w:basedOn w:val="Normal"/>
    <w:next w:val="Normal"/>
    <w:autoRedefine/>
    <w:semiHidden/>
    <w:pPr>
      <w:ind w:left="1920" w:hanging="0"/>
    </w:pPr>
    <w:rPr/>
  </w:style>
  <w:style w:type="paragraph" w:styleId="BalloonText">
    <w:name w:val="Balloon Text"/>
    <w:basedOn w:val="Normal"/>
    <w:semiHidden/>
    <w:qFormat/>
    <w:rsid w:val="00472d27"/>
    <w:pPr/>
    <w:rPr>
      <w:rFonts w:ascii="Tahoma" w:hAnsi="Tahoma" w:cs="Tahoma"/>
      <w:sz w:val="16"/>
      <w:szCs w:val="16"/>
    </w:rPr>
  </w:style>
  <w:style w:type="paragraph" w:styleId="Titre4" w:customStyle="1">
    <w:name w:val="titre4"/>
    <w:basedOn w:val="Normal"/>
    <w:qFormat/>
    <w:pPr>
      <w:tabs>
        <w:tab w:val="clear" w:pos="720"/>
        <w:tab w:val="decimal" w:pos="357" w:leader="none"/>
      </w:tabs>
      <w:ind w:left="357" w:hanging="357"/>
    </w:pPr>
    <w:rPr>
      <w:rFonts w:ascii="Arial" w:hAnsi="Arial"/>
      <w:b/>
      <w:lang w:val="en-GB"/>
    </w:rPr>
  </w:style>
  <w:style w:type="paragraph" w:styleId="Index1">
    <w:name w:val="index 1"/>
    <w:basedOn w:val="Normal"/>
    <w:next w:val="Normal"/>
    <w:autoRedefine/>
    <w:semiHidden/>
    <w:qFormat/>
    <w:pPr>
      <w:ind w:left="240" w:hanging="240"/>
    </w:pPr>
    <w:rPr/>
  </w:style>
  <w:style w:type="paragraph" w:styleId="FrameContents">
    <w:name w:val="Frame Contents"/>
    <w:basedOn w:val="Normal"/>
    <w:qFormat/>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Relationship Id="rId13"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EEBD3-07B3-45C8-B57B-FF7C426DE274}"/>
</file>

<file path=customXml/itemProps2.xml><?xml version="1.0" encoding="utf-8"?>
<ds:datastoreItem xmlns:ds="http://schemas.openxmlformats.org/officeDocument/2006/customXml" ds:itemID="{2C1A2FCD-49DD-41B7-839E-0FD61A2B8EC5}"/>
</file>

<file path=customXml/itemProps3.xml><?xml version="1.0" encoding="utf-8"?>
<ds:datastoreItem xmlns:ds="http://schemas.openxmlformats.org/officeDocument/2006/customXml" ds:itemID="{C1FD38E5-EA73-4E50-937C-62C9EE4FD8E4}"/>
</file>

<file path=customXml/itemProps4.xml><?xml version="1.0" encoding="utf-8"?>
<ds:datastoreItem xmlns:ds="http://schemas.openxmlformats.org/officeDocument/2006/customXml" ds:itemID="{F6397944-7E18-4575-B624-1A39343AA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Application>LibreOffice/6.2.2.2$Windows_X86_64 LibreOffice_project/2b840030fec2aae0fd2658d8d4f9548af4e3518d</Application>
  <Pages>3</Pages>
  <Words>1293</Words>
  <Characters>6632</Characters>
  <CharactersWithSpaces>7901</CharactersWithSpaces>
  <Paragraphs>38</Paragraphs>
  <Company> </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2018-12-18T11:54:00Z</dcterms:created>
  <dc:creator>LeborgneAldric</dc:creator>
  <dc:description/>
  <dc:language>en-US</dc:language>
  <cp:lastModifiedBy/>
  <cp:lastPrinted>2006-01-04T17:50:00Z</cp:lastPrinted>
  <dcterms:modified xsi:type="dcterms:W3CDTF">2024-11-05T11:13:17Z</dcterms:modified>
  <cp:revision>11</cp:revision>
  <dc:subject/>
  <dc:title>&lt;LETTRE D’INVITATION À SOUMISSIONNER&gt;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 </vt:lpwstr>
  </property>
  <property fmtid="{D5CDD505-2E9C-101B-9397-08002B2CF9AE}" pid="4" name="ContentTypeId">
    <vt:lpwstr>0x010100724FDE23FB365D4CB8B2901107175F9F</vt:lpwstr>
  </property>
  <property fmtid="{D5CDD505-2E9C-101B-9397-08002B2CF9AE}" pid="5" name="DocSecurity">
    <vt:i4>0</vt:i4>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y fmtid="{D5CDD505-2E9C-101B-9397-08002B2CF9AE}" pid="10" name="_AdHocReviewCycleID">
    <vt:i4>363691129</vt:i4>
  </property>
  <property fmtid="{D5CDD505-2E9C-101B-9397-08002B2CF9AE}" pid="11" name="_AuthorEmail">
    <vt:lpwstr>Ana-Elena.PALLARES@cec.eu.int</vt:lpwstr>
  </property>
  <property fmtid="{D5CDD505-2E9C-101B-9397-08002B2CF9AE}" pid="12" name="_AuthorEmailDisplayName">
    <vt:lpwstr>PALLARES Ana Elena (AIDCO)</vt:lpwstr>
  </property>
  <property fmtid="{D5CDD505-2E9C-101B-9397-08002B2CF9AE}" pid="13" name="_EmailSubject">
    <vt:lpwstr>Annexes travaux</vt:lpwstr>
  </property>
  <property fmtid="{D5CDD505-2E9C-101B-9397-08002B2CF9AE}" pid="14" name="_ReviewingToolsShownOnce">
    <vt:lpwstr/>
  </property>
</Properties>
</file>